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92" w:rsidRPr="002F743B" w:rsidRDefault="00F61C92" w:rsidP="00F61C92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Приложение 2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>к приказу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31.08.2019г. №1-1</w:t>
      </w:r>
    </w:p>
    <w:p w:rsidR="00F61C92" w:rsidRDefault="00F61C92" w:rsidP="00F6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b/>
          <w:bCs/>
          <w:sz w:val="28"/>
          <w:szCs w:val="28"/>
        </w:rPr>
        <w:t>ПОРЯДОК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b/>
          <w:bCs/>
          <w:sz w:val="28"/>
          <w:szCs w:val="28"/>
        </w:rPr>
        <w:t>решения вопросов материально-технического и имущественного характера центра образования цифрового и гуманитарного профилей «Точка роста»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1.Настоящий Порядок определяет условия финансового обеспечения мероприятий по созданию в 2019 году и функционированию на базе </w:t>
      </w:r>
      <w:r w:rsidRPr="002F743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МКОУ «</w:t>
      </w:r>
      <w:proofErr w:type="spellStart"/>
      <w:r w:rsidRPr="002F743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Кидеринская</w:t>
      </w:r>
      <w:proofErr w:type="spellEnd"/>
      <w:r w:rsidRPr="002F743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СОШ им  </w:t>
      </w:r>
      <w:proofErr w:type="spellStart"/>
      <w:r w:rsidRPr="002F743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С.М.Магомедова</w:t>
      </w:r>
      <w:proofErr w:type="spellEnd"/>
      <w:r w:rsidRPr="002F743B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»</w:t>
      </w: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(далее – Учреждение) в качестве структурного подразделения Центра образования цифрового и гуманитарного профилей «Точка роста», способствующего формированию современных компетенций и навыков у детей, в том числе по предметам «Технология», «Информатика», «Основы безопасности жизнедеятельности», другим предметам, а также</w:t>
      </w:r>
      <w:proofErr w:type="gram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внеурочной деятельности и в рамках реализации дополнительных общеобразовательных программ (далее – Центр) и регулирование вопросов материально - технического и имущественного характера.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2. Финансовое обеспечение мероприятий по созданию Центра на базе Учреждения осуществляется за счет субсидий из бюджета </w:t>
      </w:r>
      <w:proofErr w:type="spellStart"/>
      <w:r w:rsidRPr="002F743B">
        <w:rPr>
          <w:rFonts w:ascii="Times New Roman" w:eastAsia="Calibri" w:hAnsi="Times New Roman" w:cs="Times New Roman"/>
          <w:sz w:val="28"/>
          <w:szCs w:val="28"/>
        </w:rPr>
        <w:t>Цунтинского</w:t>
      </w:r>
      <w:proofErr w:type="spell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района  в 2019 году на обновление материально-технической базы для формирования у обучающихся современных технологических и гуманитарных навыков и средств местного бюджета, направленных на </w:t>
      </w:r>
      <w:proofErr w:type="spellStart"/>
      <w:r w:rsidRPr="002F743B">
        <w:rPr>
          <w:rFonts w:ascii="Times New Roman" w:eastAsia="Calibri" w:hAnsi="Times New Roman" w:cs="Times New Roman"/>
          <w:sz w:val="28"/>
          <w:szCs w:val="28"/>
        </w:rPr>
        <w:t>софинансирование</w:t>
      </w:r>
      <w:proofErr w:type="spell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, связанного с финансовым обеспечением реализации соответствующих мероприятий.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Бюджетные средства, предусмотренные пунктом 2 настоящего Порядка, направляются на приобретение современного и высокотехнологического учебного оборудования и средств обучения для оснащения Центра, созданного на базе Учреждения, с целью формирования у обучающихся современных технологических и гуманитарных навыков в соответствии с типовым перечнем оборудования центров образования цифрового и гуманитарного профилей «Точка роста» в </w:t>
      </w:r>
      <w:proofErr w:type="spellStart"/>
      <w:r w:rsidRPr="002F743B">
        <w:rPr>
          <w:rFonts w:ascii="Times New Roman" w:eastAsia="Calibri" w:hAnsi="Times New Roman" w:cs="Times New Roman"/>
          <w:sz w:val="28"/>
          <w:szCs w:val="28"/>
        </w:rPr>
        <w:t>Цунтинском</w:t>
      </w:r>
      <w:proofErr w:type="spell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районе.</w:t>
      </w:r>
      <w:proofErr w:type="gram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Средства, полученные из областного бюджета, в форме субсидий носят целевой характер и не могут быть использованы на иные цели.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4. Проведение работ по приведению площадок Центра по типовому </w:t>
      </w:r>
      <w:proofErr w:type="gramStart"/>
      <w:r w:rsidRPr="002F743B">
        <w:rPr>
          <w:rFonts w:ascii="Times New Roman" w:eastAsia="Calibri" w:hAnsi="Times New Roman" w:cs="Times New Roman"/>
          <w:sz w:val="28"/>
          <w:szCs w:val="28"/>
        </w:rPr>
        <w:t>дизайн-проекту</w:t>
      </w:r>
      <w:proofErr w:type="gram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и типовому проекту зонирования центров образования цифрового и гуманитарного профилей в соответствии с </w:t>
      </w:r>
      <w:proofErr w:type="spellStart"/>
      <w:r w:rsidRPr="002F743B">
        <w:rPr>
          <w:rFonts w:ascii="Times New Roman" w:eastAsia="Calibri" w:hAnsi="Times New Roman" w:cs="Times New Roman"/>
          <w:sz w:val="28"/>
          <w:szCs w:val="28"/>
        </w:rPr>
        <w:t>брендбуком</w:t>
      </w:r>
      <w:proofErr w:type="spell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(в том числе выполнение ремонтных работ, оснащение мебелью и прочим инвентарем) обеспечивается за счет средств местного бюджета  без учета средств, предусмотренных пунктом 2 настоящего Порядка.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5. Финансовое обеспечение функционирования Центра осуществляется за счет субсидий Учреждению из бюджета муниципалитета на финансовое обеспечение выполнения муниципального задания Учреждением и иные цели.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6. Муниципальное задание Учреждения формируется с учетом деятельности Центра в соответствии с Порядком формирования муниципального задания на оказание муниципальных услуг  и финансового обеспечения выполнения муниципального задания.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7. В затраты, непосредственно связанные с оказанием муниципальной услуги Центром, включаются затраты </w:t>
      </w:r>
      <w:proofErr w:type="gramStart"/>
      <w:r w:rsidRPr="002F743B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1) на оплату труда, в том числе начисления на выплаты по оплате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43B">
        <w:rPr>
          <w:rFonts w:ascii="Times New Roman" w:eastAsia="Calibri" w:hAnsi="Times New Roman" w:cs="Times New Roman"/>
          <w:sz w:val="28"/>
          <w:szCs w:val="28"/>
        </w:rPr>
        <w:t>труда работников, непосредственно связанных с оказанием муниципальной услуги,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(начисления на выплаты по оплате</w:t>
      </w:r>
      <w:proofErr w:type="gramEnd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труда) за счет средств субвенций из областного бюджета;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>2) на приобретение материальных запасов, в том числе расходных материалов, особо ценного движимого имущества стоимостью, не превышающей 200,0 тыс. руб., движимого имущества (основных средств и нематериальных активов), не отнесенного к особо ценному движимому имуществу и используемого в процессе оказания муниципальной услуги;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 3) иные затраты, непосредственно связанные с оказанием муниципальной услуги, в том числе: командировочные расходы, услуги по организации мероприятий, дополнительное профессиональное образование сотрудников Центра, участие обучающихся в соревнованиях и мероприятиях муниципального, регионального и федерального уровней.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8. В затраты на общехозяйственные нужды на оказание муниципальной услуги Центром включаются затраты на: 1) коммунальные услуги;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>2) содержание объектов недвижимого имущества, проведение капитального ремонта недвижимого имущества, закрепленного за учреждениями на праве оперативного управления, при условии, размер расходов на эти цели не превышает 200 тыс. рублей, а также затраты на аренду указанного имущества (при необходимости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); 3) приобретение услуг связи; </w:t>
      </w:r>
      <w:proofErr w:type="gramEnd"/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4) услуги предоставления доступа в сеть интернет;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>5) приобретение транспортных услуг;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6) оплату труда с начислениями на выплаты по оплате труда работников, которые не принимают непосредственного участия в оказании муниципальной услуги за счет средств местного бюджета;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7) прочие общехозяйственные нужды.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9. Значения нормативных затрат на оказание муниципальной услуги в отношении Учреждения, имеющего в своей структуре Центр, утверждаются учредителем.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10. Финансовое обеспечение выполнения муниципального задания осуществляется в пределах бюджетных ассигнований, предусмотренных в бюджете муниципалитета на соответствующие цели, и утвержденных лимитов бюджетных обязательств, путем предоставления образовательным учреждениям.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11. Изменение финансового обеспечения выполнения муниципального задания может осуществляться в случаях, предусмотренных нормативными актами, указанными в пункте 6 настоящего Порядка.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12. Имущество Центра (далее – Имущество) находится в собственности учредителя Учреждения и закрепляется за Учреждением на праве оперативного управления.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13. Имущество, закрепленное за Учреждением или приобретенное Учреждением за счет средств, выделенных ему учредителем на приобретение этого имущества, а также находящееся у Учреждения, подлежит учету в установленном законодательством порядке.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43B">
        <w:rPr>
          <w:rFonts w:ascii="Times New Roman" w:eastAsia="Calibri" w:hAnsi="Times New Roman" w:cs="Times New Roman"/>
          <w:sz w:val="28"/>
          <w:szCs w:val="28"/>
        </w:rPr>
        <w:t xml:space="preserve">14. Учреждение в отношении Имущества, закрепленного за Учреждением учредителем или приобретенных Учреждением за счет средств, выделенных ему учредителем на приобретение такого имущества, осуществляет права пользования и распоряжения им в соответствии с целями своей деятельности и назначением Имущества в пределах, установленных законом и правовыми актами органов Местного самоуправления. </w:t>
      </w:r>
    </w:p>
    <w:p w:rsidR="00F61C92" w:rsidRPr="002F743B" w:rsidRDefault="00F61C92" w:rsidP="00F61C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F61C92" w:rsidRPr="002F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10"/>
    <w:rsid w:val="00435103"/>
    <w:rsid w:val="007A3810"/>
    <w:rsid w:val="00DA3128"/>
    <w:rsid w:val="00F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3114-07C2-4D7D-9790-6C888C02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Башир</dc:creator>
  <cp:lastModifiedBy>Башир</cp:lastModifiedBy>
  <cp:revision>2</cp:revision>
  <cp:lastPrinted>2020-11-16T20:51:00Z</cp:lastPrinted>
  <dcterms:created xsi:type="dcterms:W3CDTF">2020-11-16T20:47:00Z</dcterms:created>
  <dcterms:modified xsi:type="dcterms:W3CDTF">2020-11-16T20:51:00Z</dcterms:modified>
</cp:coreProperties>
</file>